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Villavicencio,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(día/mes/año)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Señor(a)</w:t>
      </w:r>
    </w:p>
    <w:p w:rsidR="00000000" w:rsidDel="00000000" w:rsidP="00000000" w:rsidRDefault="00000000" w:rsidRPr="00000000" w14:paraId="00000005">
      <w:pPr>
        <w:jc w:val="both"/>
        <w:rPr>
          <w:rFonts w:ascii="Arial Narrow" w:cs="Arial Narrow" w:eastAsia="Arial Narrow" w:hAnsi="Arial Narrow"/>
          <w:b w:val="0"/>
          <w:bCs w:val="0"/>
          <w:color w:val="a6a6a6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vertAlign w:val="baseline"/>
          <w:rtl w:val="0"/>
        </w:rPr>
        <w:t xml:space="preserve">NOMBRE DEL POSIBLE CONTRATISTA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Teléfono: ________</w:t>
      </w:r>
    </w:p>
    <w:p w:rsidR="00000000" w:rsidDel="00000000" w:rsidP="00000000" w:rsidRDefault="00000000" w:rsidRPr="00000000" w14:paraId="00000007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Dirección: ________</w:t>
      </w:r>
    </w:p>
    <w:p w:rsidR="00000000" w:rsidDel="00000000" w:rsidP="00000000" w:rsidRDefault="00000000" w:rsidRPr="00000000" w14:paraId="00000008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Correo: __________</w:t>
      </w:r>
    </w:p>
    <w:p w:rsidR="00000000" w:rsidDel="00000000" w:rsidP="00000000" w:rsidRDefault="00000000" w:rsidRPr="00000000" w14:paraId="00000009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La ciudad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Asunto: Solicitud cotización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Cordial saludo,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medio de la presente me permito solicitar cotización como estudio de mercado para la Universidad de los Llanos con las siguientes condiciones: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Objeto: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Tipo contrato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Plazo de ejecución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Lugar de entrega o ejecución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 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Forma de pago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conforme a lo establecido en el formato anexo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ficha técnica FO-GBS-19.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Características y/o condiciones técnicas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Deberá cotizar bienes y/o servicios de origen lícito, de marca reconocida en el mercado nacional como internacional, con las siguientes características: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anexa ficha técnica FO-GBS-19.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55"/>
        </w:tabs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Vigencia de la cotización: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vigencia de la cotización deberá tener como mínimo sesenta (60) días contados a partir de su presentación a la Universidad de los Llanos.</w:t>
      </w:r>
    </w:p>
    <w:p w:rsidR="00000000" w:rsidDel="00000000" w:rsidP="00000000" w:rsidRDefault="00000000" w:rsidRPr="00000000" w14:paraId="0000001E">
      <w:pPr>
        <w:spacing w:before="240" w:lineRule="auto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Debe considerar en los precios de su propuesta precios a todo costo y bajo el modelo de precios fijos; así mismo, todos los costos requeridos (directos e indirectos), costos de legalización contractual, papelería, generales de desplazamiento y gastos generales del contratista, incluyendo por separado el valor del IVA, si aplica.</w:t>
      </w:r>
    </w:p>
    <w:p w:rsidR="00000000" w:rsidDel="00000000" w:rsidP="00000000" w:rsidRDefault="00000000" w:rsidRPr="00000000" w14:paraId="0000001F">
      <w:pPr>
        <w:spacing w:before="240" w:lineRule="auto"/>
        <w:jc w:val="both"/>
        <w:rPr>
          <w:rFonts w:ascii="Arial Narrow" w:cs="Arial Narrow" w:eastAsia="Arial Narrow" w:hAnsi="Arial Narrow"/>
          <w:color w:val="a6a6a6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u w:val="single"/>
          <w:vertAlign w:val="baseline"/>
          <w:rtl w:val="0"/>
        </w:rPr>
        <w:t xml:space="preserve">Si el proceso tiene pólizas seleccionar las que apliquen: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u w:val="single"/>
          <w:vertAlign w:val="baseline"/>
          <w:rtl w:val="0"/>
        </w:rPr>
        <w:t xml:space="preserve">Garantías: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 El Contratista deberá constituir las garantías a favor de la Universidad de los Llanos, identificada con el Nit 892.000.757-3, conforme a lo establecido en el artículo 52 de la Resolución Rectoral No. 0685 del 01 de julio de 2021 AMPAROS Y COBERTURAS DE LAS GARANTÍAS. Los amparos y coberturas de las garantías serán las siguientes:</w:t>
      </w:r>
    </w:p>
    <w:p w:rsidR="00000000" w:rsidDel="00000000" w:rsidP="00000000" w:rsidRDefault="00000000" w:rsidRPr="00000000" w14:paraId="00000022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ind w:left="360" w:hanging="360"/>
        <w:jc w:val="both"/>
        <w:rPr>
          <w:rFonts w:ascii="Arial Narrow" w:cs="Arial Narrow" w:eastAsia="Arial Narrow" w:hAnsi="Arial Narrow"/>
          <w:color w:val="a6a6a6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u w:val="single"/>
          <w:vertAlign w:val="baseline"/>
          <w:rtl w:val="0"/>
        </w:rPr>
        <w:t xml:space="preserve">CUMPLIMIENTO: 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Por una cuantía equivalente al diez (10%) del valor del contrato, con una vigencia igual al plazo de ejecución del contrato y cuatro (4) meses más. </w:t>
      </w:r>
    </w:p>
    <w:p w:rsidR="00000000" w:rsidDel="00000000" w:rsidP="00000000" w:rsidRDefault="00000000" w:rsidRPr="00000000" w14:paraId="00000024">
      <w:pPr>
        <w:widowControl w:val="0"/>
        <w:ind w:left="360" w:firstLine="0"/>
        <w:jc w:val="both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ind w:left="360" w:hanging="360"/>
        <w:jc w:val="both"/>
        <w:rPr>
          <w:rFonts w:ascii="Arial Narrow" w:cs="Arial Narrow" w:eastAsia="Arial Narrow" w:hAnsi="Arial Narrow"/>
          <w:color w:val="a6a6a6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u w:val="single"/>
          <w:vertAlign w:val="baseline"/>
          <w:rtl w:val="0"/>
        </w:rPr>
        <w:t xml:space="preserve">CALIDAD Y CORRECTO FUNCIONAMIENTO DE LOS BIENES Y EQUIPOS SUMINISTRADOS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: Por una cuantía equivalente al cincuenta por ciento (50%), del valor total del contrato y tendrá una vigencia igual al plazo de ejecución del contrato y un (1) año más, contado a partir de la entrega de los bienes.</w:t>
      </w:r>
    </w:p>
    <w:p w:rsidR="00000000" w:rsidDel="00000000" w:rsidP="00000000" w:rsidRDefault="00000000" w:rsidRPr="00000000" w14:paraId="00000026">
      <w:pPr>
        <w:widowControl w:val="0"/>
        <w:ind w:left="360" w:firstLine="0"/>
        <w:jc w:val="both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ind w:left="360" w:hanging="360"/>
        <w:jc w:val="both"/>
        <w:rPr>
          <w:rFonts w:ascii="Arial Narrow" w:cs="Arial Narrow" w:eastAsia="Arial Narrow" w:hAnsi="Arial Narrow"/>
          <w:color w:val="a6a6a6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u w:val="single"/>
          <w:vertAlign w:val="baseline"/>
          <w:rtl w:val="0"/>
        </w:rPr>
        <w:t xml:space="preserve">CALIDAD DEL SERVICIO: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  Por una cuantía equivalente al diez por ciento (10%) del valor del contrato, con una vigencia igual al plazo de ejecución del contrato y cuatro (4) meses más.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ind w:left="360" w:hanging="360"/>
        <w:jc w:val="both"/>
        <w:rPr>
          <w:rFonts w:ascii="Arial Narrow" w:cs="Arial Narrow" w:eastAsia="Arial Narrow" w:hAnsi="Arial Narrow"/>
          <w:color w:val="a6a6a6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u w:val="single"/>
          <w:vertAlign w:val="baseline"/>
          <w:rtl w:val="0"/>
        </w:rPr>
        <w:t xml:space="preserve">SALARIOS, PRESTACIONES E INDEMNIZACIONES LABORALES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Por una cuantía equivalente al cinco (5%) del valor del contrato, con una vigencia igual al plazo del contrato y tres (3) años más.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"/>
        </w:numPr>
        <w:ind w:left="360" w:hanging="360"/>
        <w:jc w:val="both"/>
        <w:rPr>
          <w:rFonts w:ascii="Arial Narrow" w:cs="Arial Narrow" w:eastAsia="Arial Narrow" w:hAnsi="Arial Narrow"/>
          <w:color w:val="a6a6a6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vertAlign w:val="baseline"/>
          <w:rtl w:val="0"/>
        </w:rPr>
        <w:t xml:space="preserve">(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demás que aplique conforme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artículo 52 de la Resolución Rectoral No. 0685)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jc w:val="both"/>
        <w:rPr>
          <w:rFonts w:ascii="Arial Narrow" w:cs="Arial Narrow" w:eastAsia="Arial Narrow" w:hAnsi="Arial Narrow"/>
          <w:color w:val="a6a6a6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u w:val="single"/>
          <w:vertAlign w:val="baseline"/>
          <w:rtl w:val="0"/>
        </w:rPr>
        <w:t xml:space="preserve">En caso de que el proceso no incluya pólizas, dejar lo siguiente: </w:t>
      </w:r>
    </w:p>
    <w:p w:rsidR="00000000" w:rsidDel="00000000" w:rsidP="00000000" w:rsidRDefault="00000000" w:rsidRPr="00000000" w14:paraId="0000002E">
      <w:pPr>
        <w:widowControl w:val="0"/>
        <w:jc w:val="both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hanging="2"/>
        <w:jc w:val="both"/>
        <w:rPr>
          <w:rFonts w:ascii="Arial Narrow" w:cs="Arial Narrow" w:eastAsia="Arial Narrow" w:hAnsi="Arial Narrow"/>
          <w:color w:val="a6a6a6"/>
          <w:sz w:val="26"/>
          <w:szCs w:val="26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a6a6a6"/>
          <w:sz w:val="26"/>
          <w:szCs w:val="26"/>
          <w:u w:val="single"/>
          <w:vertAlign w:val="baseline"/>
          <w:rtl w:val="0"/>
        </w:rPr>
        <w:t xml:space="preserve">Garantías: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6"/>
          <w:szCs w:val="26"/>
          <w:vertAlign w:val="baseline"/>
          <w:rtl w:val="0"/>
        </w:rPr>
        <w:t xml:space="preserve"> De acuerdo con lo establecido en el Art. 51 de la Resolución Rectoral N°0685 de 2021, atendiendo que no existen anticipos, ni pagos anticipados, ni se evidencia que la Universidad se expone a un riesgo en el cual pueda ocasionar un detrimento patrimonial, NO SE EXIGIRÁ la constitución de garantías para el presente contrato.</w:t>
      </w:r>
    </w:p>
    <w:p w:rsidR="00000000" w:rsidDel="00000000" w:rsidP="00000000" w:rsidRDefault="00000000" w:rsidRPr="00000000" w14:paraId="00000030">
      <w:pPr>
        <w:ind w:hanging="2"/>
        <w:jc w:val="both"/>
        <w:rPr>
          <w:rFonts w:ascii="Arial Narrow" w:cs="Arial Narrow" w:eastAsia="Arial Narrow" w:hAnsi="Arial Narrow"/>
          <w:color w:val="a6a6a6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a6a6a6"/>
          <w:sz w:val="26"/>
          <w:szCs w:val="26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26"/>
          <w:szCs w:val="26"/>
          <w:vertAlign w:val="baseline"/>
          <w:rtl w:val="0"/>
        </w:rPr>
        <w:t xml:space="preserve">Según lo estipula artículo 51 de la Resolución Rectoral N°0685 de 2021, se establece: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a6a6a6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Arial Narrow" w:cs="Arial Narrow" w:eastAsia="Arial Narrow" w:hAnsi="Arial Narrow"/>
          <w:i w:val="0"/>
          <w:iCs w:val="0"/>
          <w:color w:val="a6a6a6"/>
          <w:sz w:val="26"/>
          <w:szCs w:val="26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a6a6a6"/>
          <w:sz w:val="26"/>
          <w:szCs w:val="26"/>
          <w:vertAlign w:val="baseline"/>
          <w:rtl w:val="0"/>
        </w:rPr>
        <w:t xml:space="preserve">“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a6a6a6"/>
          <w:sz w:val="26"/>
          <w:szCs w:val="26"/>
          <w:vertAlign w:val="baseline"/>
          <w:rtl w:val="0"/>
        </w:rPr>
        <w:t xml:space="preserve">GARANTÍAS: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a6a6a6"/>
          <w:sz w:val="26"/>
          <w:szCs w:val="26"/>
          <w:vertAlign w:val="baseline"/>
          <w:rtl w:val="0"/>
        </w:rPr>
        <w:t xml:space="preserve"> En los procesos de contratación que adelante la Universidad, los proponentes prestarán garantía de seriedad de la propuesta, y los contratistas seleccionados prestarán garantía única de cumplimiento de las obligaciones contractuales de acuerdo con la cuantía de la contratación, el objeto, valor, riesgos y formas de pago.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Arial Narrow" w:cs="Arial Narrow" w:eastAsia="Arial Narrow" w:hAnsi="Arial Narrow"/>
          <w:i w:val="0"/>
          <w:iCs w:val="0"/>
          <w:color w:val="a6a6a6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Arial Narrow" w:cs="Arial Narrow" w:eastAsia="Arial Narrow" w:hAnsi="Arial Narrow"/>
          <w:i w:val="0"/>
          <w:iCs w:val="0"/>
          <w:color w:val="a6a6a6"/>
          <w:sz w:val="26"/>
          <w:szCs w:val="26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a6a6a6"/>
          <w:sz w:val="26"/>
          <w:szCs w:val="26"/>
          <w:vertAlign w:val="baseline"/>
          <w:rtl w:val="0"/>
        </w:rPr>
        <w:t xml:space="preserve">Las garantías no serán obligatorias en los contratos de empréstito; interadministrativos; 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26"/>
          <w:szCs w:val="26"/>
          <w:vertAlign w:val="baseline"/>
          <w:rtl w:val="0"/>
        </w:rPr>
        <w:t xml:space="preserve">de seguros;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a6a6a6"/>
          <w:sz w:val="26"/>
          <w:szCs w:val="26"/>
          <w:vertAlign w:val="baseline"/>
          <w:rtl w:val="0"/>
        </w:rPr>
        <w:t xml:space="preserve"> de prestación de servicios profesionales y de apoyo a la gestión; fiducias; en los de carácter financiero; en los contratos que celebre la Universidad con personas jurídicas públicas, privadas o mixtas con o sin ánimo de lucro de las que sea parte, socia, asociada o aportante; en los contratos de arrendamiento; de prestación de servicios públicos; y en aquellos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a6a6a6"/>
          <w:sz w:val="26"/>
          <w:szCs w:val="26"/>
          <w:u w:val="single"/>
          <w:vertAlign w:val="baseline"/>
          <w:rtl w:val="0"/>
        </w:rPr>
        <w:t xml:space="preserve">cuya cuantía sea pequeña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a6a6a6"/>
          <w:sz w:val="26"/>
          <w:szCs w:val="26"/>
          <w:vertAlign w:val="baseline"/>
          <w:rtl w:val="0"/>
        </w:rPr>
        <w:t xml:space="preserve">, siempre que en el estudio de conveniencia y oportunidad al momento de realizar el análisis del riesgo, se concluya que no es necesario exigirla, atendiendo el objeto, naturaleza, forma de pago, duración del contrato y calidad del contratista.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Arial Narrow" w:cs="Arial Narrow" w:eastAsia="Arial Narrow" w:hAnsi="Arial Narrow"/>
          <w:i w:val="0"/>
          <w:iCs w:val="0"/>
          <w:color w:val="a6a6a6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Arial Narrow" w:cs="Arial Narrow" w:eastAsia="Arial Narrow" w:hAnsi="Arial Narrow"/>
          <w:i w:val="0"/>
          <w:iCs w:val="0"/>
          <w:color w:val="a6a6a6"/>
          <w:sz w:val="26"/>
          <w:szCs w:val="26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a6a6a6"/>
          <w:sz w:val="26"/>
          <w:szCs w:val="26"/>
          <w:vertAlign w:val="baseline"/>
          <w:rtl w:val="0"/>
        </w:rPr>
        <w:t xml:space="preserve">Parágrafo: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a6a6a6"/>
          <w:sz w:val="26"/>
          <w:szCs w:val="26"/>
          <w:vertAlign w:val="baseline"/>
          <w:rtl w:val="0"/>
        </w:rPr>
        <w:t xml:space="preserve">Para los efectos del presente artículo, se entenderá como contratos de cuantía pequeña, aquellos cuyo valor sea igual o inferior a cincuenta salarios mínimos legales mensuales vigentes (50 SMLMV)”. (Subrayado fuera de texto).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No obstante, sí deberá acreditar el contratista, en forma previa al inicio del contrato, su vinculación al sistema integral de seguridad social (pensión, salud y ARL), y en forma periódica acreditar igualmente los pagos al mismo, a fin de precaver los riesgos derivados de eventuales accidentes.</w:t>
      </w:r>
    </w:p>
    <w:p w:rsidR="00000000" w:rsidDel="00000000" w:rsidP="00000000" w:rsidRDefault="00000000" w:rsidRPr="00000000" w14:paraId="0000003A">
      <w:pPr>
        <w:spacing w:before="240" w:lineRule="auto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u w:val="single"/>
          <w:vertAlign w:val="baseline"/>
          <w:rtl w:val="0"/>
        </w:rPr>
        <w:t xml:space="preserve">Impuestos y aportes: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before="240" w:lineRule="auto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Debe tener en cuenta en los costos de los precios de la cotización lo siguiente: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Impuestos Nacionales (Retención en la fuente a título de renta, retención a la fuente a título de IVA)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Impuestos territoriales (Retención en la fuente a título de Industria y Comercio - ICA)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Aportes del contratista al Sistema de Seguridad Social Integral y parafiscales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 demás impuestos que resulten aplicables a la naturaleza del contrato.</w:t>
      </w:r>
    </w:p>
    <w:p w:rsidR="00000000" w:rsidDel="00000000" w:rsidP="00000000" w:rsidRDefault="00000000" w:rsidRPr="00000000" w14:paraId="00000040">
      <w:pPr>
        <w:spacing w:before="240" w:lineRule="auto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Aclaramos que la Universidad de los Llanos, es agente de retención, por lo tanto, estamos en la obligación de realizar retención en la fuente de los Impuestos Nacionales y Territoriales. No se aplican estampillas por la naturaleza de la entidad.</w:t>
      </w:r>
    </w:p>
    <w:p w:rsidR="00000000" w:rsidDel="00000000" w:rsidP="00000000" w:rsidRDefault="00000000" w:rsidRPr="00000000" w14:paraId="00000041">
      <w:pPr>
        <w:spacing w:before="240" w:lineRule="auto"/>
        <w:jc w:val="both"/>
        <w:rPr>
          <w:rFonts w:ascii="Arial Narrow" w:cs="Arial Narrow" w:eastAsia="Arial Narrow" w:hAnsi="Arial Narrow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u w:val="single"/>
          <w:vertAlign w:val="baseline"/>
          <w:rtl w:val="0"/>
        </w:rPr>
        <w:t xml:space="preserve">Documentos exigidos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solicito amablemente que la cotización se allegue a más tardar el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(día/mes/año),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junto con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(para persona jurídica)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certificado de existencia y representación legal y copia del RUT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(para persona natural)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Certificado de matrícula mercantil de la Cámara de Comercio, no mayor a treinta (30) días calendario y copia del RUT, (cuando sea proveedor exclusivo incluir adicional) certificado de exclusividad,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el fin de poder realizar el estudio de precios del mercado que se adelanta por la Universidad.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Nota: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 presente solicitud de cotización tiene un carácter exclusivamente informativo y se realiza con el fin de obtener información de mercado que sirva como insumo para la elaboración del estudio de precios del mercado y la estimación del presupuesto oficial de un eventual proceso de contratación, en cumplimiento de los principios de planeación y selección objetiva.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remisión de la cotización no constituye una oferta vinculante, ni genera obligación alguna para el cotizante o para la Universidad de los Llanos, ni implica la adjudicación de un contrato o compromiso de contratación. La información suministrada será utilizada únicamente como referencia para el análisis de precios del mercado y la estructuración del proceso contractual, de ser procedente.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siendo otro el motivo de la presente.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Arial Narrow" w:cs="Arial Narrow" w:eastAsia="Arial Narrow" w:hAnsi="Arial Narrow"/>
          <w:color w:val="a6a6a6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22"/>
          <w:szCs w:val="22"/>
          <w:vertAlign w:val="baseline"/>
          <w:rtl w:val="0"/>
        </w:rPr>
        <w:t xml:space="preserve">(NOMBRE COMPLETO)</w:t>
      </w:r>
    </w:p>
    <w:p w:rsidR="00000000" w:rsidDel="00000000" w:rsidP="00000000" w:rsidRDefault="00000000" w:rsidRPr="00000000" w14:paraId="00000050">
      <w:pPr>
        <w:jc w:val="center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Profesional De Apoyo</w:t>
      </w:r>
    </w:p>
    <w:p w:rsidR="00000000" w:rsidDel="00000000" w:rsidP="00000000" w:rsidRDefault="00000000" w:rsidRPr="00000000" w14:paraId="00000051">
      <w:pPr>
        <w:jc w:val="center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Vicerrectoría De Recursos Universitarios</w:t>
      </w:r>
    </w:p>
    <w:p w:rsidR="00000000" w:rsidDel="00000000" w:rsidP="00000000" w:rsidRDefault="00000000" w:rsidRPr="00000000" w14:paraId="00000052">
      <w:pPr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2" w:w="12242" w:orient="portrait"/>
      <w:pgMar w:bottom="1418" w:top="1418" w:left="1418" w:right="1418" w:header="68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 Narrow" w:cs="Arial Narrow" w:eastAsia="Arial Narrow" w:hAnsi="Arial Narrow"/>
        <w:sz w:val="22"/>
        <w:szCs w:val="22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22.0" w:type="dxa"/>
      <w:jc w:val="center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  <w:tblLayout w:type="fixed"/>
      <w:tblLook w:val="0000"/>
    </w:tblPr>
    <w:tblGrid>
      <w:gridCol w:w="2528"/>
      <w:gridCol w:w="1830"/>
      <w:gridCol w:w="1170"/>
      <w:gridCol w:w="2778"/>
      <w:gridCol w:w="1316"/>
      <w:tblGridChange w:id="0">
        <w:tblGrid>
          <w:gridCol w:w="2528"/>
          <w:gridCol w:w="1830"/>
          <w:gridCol w:w="1170"/>
          <w:gridCol w:w="2778"/>
          <w:gridCol w:w="1316"/>
        </w:tblGrid>
      </w:tblGridChange>
    </w:tblGrid>
    <w:tr>
      <w:trPr>
        <w:cantSplit w:val="1"/>
        <w:trHeight w:val="28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468120" cy="466725"/>
                <wp:effectExtent b="0" l="0" r="0" t="0"/>
                <wp:docPr descr="Descripción: C:\Users\CESAR.LADINO\Downloads\Logo Unillanos2019.png" id="1" name="image1.png"/>
                <a:graphic>
                  <a:graphicData uri="http://schemas.openxmlformats.org/drawingml/2006/picture">
                    <pic:pic>
                      <pic:nvPicPr>
                        <pic:cNvPr descr="Descripción: C:\Users\CESAR.LADINO\Downloads\Logo Unillanos2019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812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PROCESO GESTIÓN DE BIENES Y SERVICIOS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SOLICITUD DE COTIZACIÓN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Código: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FO-GBS- 20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Versión: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02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Fecha de aprobación: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10/07/2026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highlight w:val="yellow"/>
              <w:u w:val="none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Página: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HAa+FnwcLOwK3qTOmseONTExA==">CgMxLjA4AHIhMTVwbGRrVVQ4OFA3cDNpRXFZQ1FZYnVVVjhucXZoUU94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